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 и учет персонала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 и учет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81.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цели и задачи. Основы управленческой отчетности.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 персонала.  Цели управленческого учета персо-нала.</w:t>
            </w:r>
          </w:p>
          <w:p>
            <w:pPr>
              <w:jc w:val="both"/>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 ленческого учета персонала.</w:t>
            </w:r>
          </w:p>
          <w:p>
            <w:pPr>
              <w:jc w:val="both"/>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 темы управленческого учета в организациях.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r>
      <w:tr>
        <w:trPr>
          <w:trHeight w:hRule="exact" w:val="1484.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Автономные и интегрированные системы учета как разновидность вариантов организации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Сегменты управленческой деятельности. Сегментарная отчетность – дополнительные возможности управления и контроля.</w:t>
            </w:r>
          </w:p>
          <w:p>
            <w:pPr>
              <w:jc w:val="both"/>
              <w:spacing w:after="0" w:line="240" w:lineRule="auto"/>
              <w:rPr>
                <w:sz w:val="24"/>
                <w:szCs w:val="24"/>
              </w:rPr>
            </w:pPr>
            <w:r>
              <w:rPr>
                <w:rFonts w:ascii="Times New Roman" w:hAnsi="Times New Roman" w:cs="Times New Roman"/>
                <w:color w:val="#000000"/>
                <w:sz w:val="24"/>
                <w:szCs w:val="24"/>
              </w:rPr>
              <w:t> Финансовые критерии оценки деятельности центров ответственности. Нефинансовые критерии оценки деятельности центров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Объекты калькулирования. Калькулирование как процесс, и калькуляция как один из основных документов управленческого учета. Фактор затрат – база распределения накладных затрат. Носитель затрат как причина появления затрат.</w:t>
            </w:r>
          </w:p>
          <w:p>
            <w:pPr>
              <w:jc w:val="both"/>
              <w:spacing w:after="0" w:line="240" w:lineRule="auto"/>
              <w:rPr>
                <w:sz w:val="24"/>
                <w:szCs w:val="24"/>
              </w:rPr>
            </w:pPr>
            <w:r>
              <w:rPr>
                <w:rFonts w:ascii="Times New Roman" w:hAnsi="Times New Roman" w:cs="Times New Roman"/>
                <w:color w:val="#000000"/>
                <w:sz w:val="24"/>
                <w:szCs w:val="24"/>
              </w:rPr>
              <w:t> Производственная мощность: теоретическая, практическая и нормальная производственная мощность. Лимитирующие факторы – факторы, ограничивающие деятельность организации. Внешние и внутренние лимитирующие факторы.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себестоимость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p>
            <w:pPr>
              <w:jc w:val="both"/>
              <w:spacing w:after="0" w:line="240" w:lineRule="auto"/>
              <w:rPr>
                <w:sz w:val="24"/>
                <w:szCs w:val="24"/>
              </w:rPr>
            </w:pPr>
            <w:r>
              <w:rPr>
                <w:rFonts w:ascii="Times New Roman" w:hAnsi="Times New Roman" w:cs="Times New Roman"/>
                <w:color w:val="#000000"/>
                <w:sz w:val="24"/>
                <w:szCs w:val="24"/>
              </w:rPr>
              <w:t> Определение трансфертной цены. Возможности оценки деятельности отдельных подразделений организации и сегментов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деятельности. Система долгосрочных и текущих бюджетов.</w:t>
            </w:r>
          </w:p>
        </w:tc>
      </w:tr>
      <w:tr>
        <w:trPr>
          <w:trHeight w:hRule="exact" w:val="464.0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Классификация по срокам: стратегическое,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и оперативное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детализации: частное и общее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методам разработки: «от нуля» и «от достигнутого».</w:t>
            </w:r>
          </w:p>
          <w:p>
            <w:pPr>
              <w:jc w:val="both"/>
              <w:spacing w:after="0" w:line="240" w:lineRule="auto"/>
              <w:rPr>
                <w:sz w:val="24"/>
                <w:szCs w:val="24"/>
              </w:rPr>
            </w:pPr>
            <w:r>
              <w:rPr>
                <w:rFonts w:ascii="Times New Roman" w:hAnsi="Times New Roman" w:cs="Times New Roman"/>
                <w:color w:val="#000000"/>
                <w:sz w:val="24"/>
                <w:szCs w:val="24"/>
              </w:rPr>
              <w:t> Классификация по функциям затрат в планировании деятельности: капитальное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возможности контроля: статичное и гибкое планирование.</w:t>
            </w:r>
          </w:p>
          <w:p>
            <w:pPr>
              <w:jc w:val="both"/>
              <w:spacing w:after="0" w:line="240" w:lineRule="auto"/>
              <w:rPr>
                <w:sz w:val="24"/>
                <w:szCs w:val="24"/>
              </w:rPr>
            </w:pPr>
            <w:r>
              <w:rPr>
                <w:rFonts w:ascii="Times New Roman" w:hAnsi="Times New Roman" w:cs="Times New Roman"/>
                <w:color w:val="#000000"/>
                <w:sz w:val="24"/>
                <w:szCs w:val="24"/>
              </w:rPr>
              <w:t> Процесс планирования. Прогнозы и бюджеты.</w:t>
            </w:r>
          </w:p>
          <w:p>
            <w:pPr>
              <w:jc w:val="both"/>
              <w:spacing w:after="0" w:line="240" w:lineRule="auto"/>
              <w:rPr>
                <w:sz w:val="24"/>
                <w:szCs w:val="24"/>
              </w:rPr>
            </w:pPr>
            <w:r>
              <w:rPr>
                <w:rFonts w:ascii="Times New Roman" w:hAnsi="Times New Roman" w:cs="Times New Roman"/>
                <w:color w:val="#000000"/>
                <w:sz w:val="24"/>
                <w:szCs w:val="24"/>
              </w:rPr>
              <w:t> 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и процесс принятия управленческих решений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pPr>
              <w:jc w:val="both"/>
              <w:spacing w:after="0" w:line="240" w:lineRule="auto"/>
              <w:rPr>
                <w:sz w:val="24"/>
                <w:szCs w:val="24"/>
              </w:rPr>
            </w:pPr>
            <w:r>
              <w:rPr>
                <w:rFonts w:ascii="Times New Roman" w:hAnsi="Times New Roman" w:cs="Times New Roman"/>
                <w:color w:val="#000000"/>
                <w:sz w:val="24"/>
                <w:szCs w:val="24"/>
              </w:rPr>
              <w:t> Понятие, цель и задачи аудита персонала. Методика проведения аудита персонала.</w:t>
            </w:r>
          </w:p>
          <w:p>
            <w:pPr>
              <w:jc w:val="both"/>
              <w:spacing w:after="0" w:line="240" w:lineRule="auto"/>
              <w:rPr>
                <w:sz w:val="24"/>
                <w:szCs w:val="24"/>
              </w:rPr>
            </w:pPr>
            <w:r>
              <w:rPr>
                <w:rFonts w:ascii="Times New Roman" w:hAnsi="Times New Roman" w:cs="Times New Roman"/>
                <w:color w:val="#000000"/>
                <w:sz w:val="24"/>
                <w:szCs w:val="24"/>
              </w:rPr>
              <w:t> Показатели кадрового аудита персонала. Контроллинг персонала: сущность, функ-ции, задачи. Документальное обеспечение контроллинга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цели и задачи. Основы управленческой отчетности.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себестоимость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деятельности. Система долгосрочных и текущих бюджетов.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и учет персонала»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http://www.iprbookshop.ru/110197.html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2023-2024_ФГОС3++2023_Бак-ОФО-УП(ДОП)(23)_plx_Управленческий учет и учет персонала</dc:title>
  <dc:creator>FastReport.NET</dc:creator>
</cp:coreProperties>
</file>